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42026_050904.xml.htm"/>
      <w:bookmarkStart w:id="1" w:name="ksform409142026_0509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Mills C Randal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ELUTIA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 FIRSTFIELD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GAITHERSBURG</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ELUTIA INC.</w:t>
              </w:r>
            </w:hyperlink>
            <w:r>
              <w:rPr/>
              <w:t xml:space="preserve"> [ </w:t>
            </w:r>
            <w:r>
              <w:rPr>
                <w:rFonts w:ascii="Times;serif" w:hAnsi="Times;serif"/>
                <w:color w:val="0000FF"/>
                <w:sz w:val="24"/>
                <w:shd w:fill="FFFFFF" w:val="clear"/>
              </w:rPr>
              <w:t>ELUT</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6"/>
        <w:gridCol w:w="903"/>
        <w:gridCol w:w="772"/>
        <w:gridCol w:w="600"/>
        <w:gridCol w:w="349"/>
        <w:gridCol w:w="975"/>
        <w:gridCol w:w="457"/>
        <w:gridCol w:w="619"/>
        <w:gridCol w:w="1199"/>
        <w:gridCol w:w="1001"/>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27,083</w:t>
            </w:r>
            <w:r>
              <w:rPr>
                <w:rFonts w:ascii="Times;serif" w:hAnsi="Times;serif"/>
                <w:color w:val="008000"/>
                <w:position w:val="7"/>
                <w:sz w:val="16"/>
                <w:sz w:val="20"/>
                <w:shd w:fill="FFFFFF" w:val="clear"/>
              </w:rPr>
              <w:t>(1)</w:t>
            </w:r>
          </w:p>
        </w:tc>
        <w:tc>
          <w:tcPr>
            <w:tcW w:w="4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474,113</w:t>
            </w:r>
            <w:r>
              <w:rPr>
                <w:rFonts w:ascii="Times;serif" w:hAnsi="Times;serif"/>
                <w:color w:val="008000"/>
                <w:position w:val="7"/>
                <w:sz w:val="16"/>
                <w:sz w:val="20"/>
                <w:shd w:fill="FFFFFF" w:val="clear"/>
              </w:rPr>
              <w:t>(3)</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0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9,718</w:t>
            </w:r>
            <w:r>
              <w:rPr>
                <w:rFonts w:ascii="Times;serif" w:hAnsi="Times;serif"/>
                <w:color w:val="008000"/>
                <w:position w:val="7"/>
                <w:sz w:val="16"/>
                <w:sz w:val="20"/>
                <w:shd w:fill="FFFFFF" w:val="clear"/>
              </w:rPr>
              <w:t>(4)</w:t>
            </w:r>
          </w:p>
        </w:tc>
        <w:tc>
          <w:tcPr>
            <w:tcW w:w="4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0.8</w:t>
            </w:r>
          </w:p>
        </w:tc>
        <w:tc>
          <w:tcPr>
            <w:tcW w:w="11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464,395</w:t>
            </w:r>
            <w:r>
              <w:rPr>
                <w:rFonts w:ascii="Times;serif" w:hAnsi="Times;serif"/>
                <w:color w:val="008000"/>
                <w:position w:val="7"/>
                <w:sz w:val="16"/>
                <w:sz w:val="20"/>
                <w:shd w:fill="FFFFFF" w:val="clear"/>
              </w:rPr>
              <w:t>(3)</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27,083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27,083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189,583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represents shares of the Issuer's Class A Common Stock received from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a contingent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5,850 shares of Class A Common Stock acquired under the Company's 2020 Employee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withheld by the Issuer to satisfy tax withholding requirements on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January 31, 2024, the Reporting Person was granted 487,500 restricted stock units. Restricted stock units as to 162,500 shares vest in four equal installments upon the Issuer's achievement of a per share price equal to or greater than $6.00, $10.00, $14.00 and $18.00 in each case determined based on twenty consecutive days of trading at or above the applicable threshold subject to the Reporting Person's continuous employment with the Issuer through the vesting date; provided, however, if the vesting date for any restricted stock units that vest on stock performance is not during one of the Company's open trading windows, the vesting shall be delayed until the first business day of the next open trading window.</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Restricted stock units as to 325,000 shares vest as follows: 1/6 on June 10, 2024, and 1/12 quarterly on each of the following dates: September 10, 2024, December 10, 2024, March 10, 2025, June 10, 2025, September 10, 2025, December 10, 2025, March 10, 2026, June 10, 2026, September 10, 2026, and December 10,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Hamet, Attorney-in-Fact for C. Randal Mills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70939" TargetMode="External"/><Relationship Id="rId5" Type="http://schemas.openxmlformats.org/officeDocument/2006/relationships/hyperlink" Target="http://www.sec.gov/cgi-bin/browse-edgar?action=getcompany&amp;CIK=00017085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846</Words>
  <Characters>4497</Characters>
  <CharactersWithSpaces>5250</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